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8"/>
      </w:tblGrid>
      <w:tr w:rsidR="00BA04AC" w:rsidRPr="00BA04AC" w:rsidTr="002F7F0E">
        <w:trPr>
          <w:trHeight w:val="780"/>
          <w:tblCellSpacing w:w="15" w:type="dxa"/>
        </w:trPr>
        <w:tc>
          <w:tcPr>
            <w:tcW w:w="4967" w:type="pct"/>
            <w:shd w:val="clear" w:color="auto" w:fill="FFFFFF"/>
            <w:hideMark/>
          </w:tcPr>
          <w:p w:rsidR="00BA04AC" w:rsidRPr="00BA04AC" w:rsidRDefault="00BA04AC" w:rsidP="00BA0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04AC" w:rsidRPr="00085702" w:rsidRDefault="00651689" w:rsidP="00BA04AC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C8141A"/>
                <w:kern w:val="36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C8141A"/>
                <w:kern w:val="36"/>
                <w:sz w:val="24"/>
                <w:szCs w:val="24"/>
                <w:lang w:eastAsia="ru-RU"/>
              </w:rPr>
              <w:t xml:space="preserve">Доклад </w:t>
            </w:r>
            <w:r w:rsidR="00085702" w:rsidRPr="00085702">
              <w:rPr>
                <w:rFonts w:ascii="Tahoma" w:eastAsia="Times New Roman" w:hAnsi="Tahoma" w:cs="Tahoma"/>
                <w:b/>
                <w:bCs/>
                <w:color w:val="C8141A"/>
                <w:kern w:val="36"/>
                <w:sz w:val="24"/>
                <w:szCs w:val="24"/>
                <w:lang w:eastAsia="ru-RU"/>
              </w:rPr>
              <w:t xml:space="preserve"> в МКОУ «Кунбатарская СОШ»</w:t>
            </w:r>
            <w:r>
              <w:rPr>
                <w:rFonts w:ascii="Tahoma" w:eastAsia="Times New Roman" w:hAnsi="Tahoma" w:cs="Tahoma"/>
                <w:b/>
                <w:bCs/>
                <w:color w:val="C8141A"/>
                <w:kern w:val="36"/>
                <w:sz w:val="24"/>
                <w:szCs w:val="24"/>
                <w:lang w:eastAsia="ru-RU"/>
              </w:rPr>
              <w:t xml:space="preserve"> уполномоченного по охране труда  Янполовой В.И.</w:t>
            </w:r>
          </w:p>
        </w:tc>
      </w:tr>
    </w:tbl>
    <w:p w:rsidR="002F7F0E" w:rsidRPr="00085702" w:rsidRDefault="002F7F0E" w:rsidP="00BA04AC">
      <w:pPr>
        <w:shd w:val="clear" w:color="auto" w:fill="FFFFFF"/>
        <w:spacing w:after="0" w:line="240" w:lineRule="auto"/>
        <w:ind w:right="75"/>
        <w:jc w:val="both"/>
        <w:rPr>
          <w:rFonts w:ascii="Tahoma" w:hAnsi="Tahoma" w:cs="Tahoma"/>
          <w:color w:val="404040" w:themeColor="text1" w:themeTint="BF"/>
          <w:shd w:val="clear" w:color="auto" w:fill="FFFFFF"/>
        </w:rPr>
      </w:pPr>
      <w:r w:rsidRPr="00085702">
        <w:rPr>
          <w:rFonts w:ascii="Tahoma" w:hAnsi="Tahoma" w:cs="Tahoma"/>
          <w:color w:val="404040" w:themeColor="text1" w:themeTint="BF"/>
          <w:shd w:val="clear" w:color="auto" w:fill="FFFFFF"/>
        </w:rPr>
        <w:t>Многие люди, как ни странно, не считают сферу образования опасной настолько, чтобы уделять повышенное внимание вопросам обеспечения безопасности. В их представлении сидящие за партами ученики получают знания при полном отсутствии каких-либо опасных факторов. Но такие факторы все же имеются, и в достаточном количестве. Это и опасные (в том числе ядовитые) вещества, с которыми учащиеся имеют дело в кабинетах химии; это и различные инструменты, включая станочное оборудование, которые изучаются на уроках труда; это и спортивные снаряды, используемые на уроках физкультуры; это и электричество, имеющееся в любом кабинете. Надо понимать также, что присущая детям подвижность и любознательность, а также их слабая осведомленность в вопросах безопасности – это еще одна причина повышенного травматизма среди детей и подростков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В связи с ростом количества опасных и чрезвычайных ситуаций (ЧС) одной из важнейших задач общего и профессионального образования становится формирование безопасной, здоровой образовательной среды и </w:t>
      </w:r>
      <w:r w:rsidRPr="00085702">
        <w:rPr>
          <w:rFonts w:ascii="Arial" w:eastAsia="Times New Roman" w:hAnsi="Arial" w:cs="Arial"/>
          <w:i/>
          <w:iCs/>
          <w:color w:val="404040" w:themeColor="text1" w:themeTint="BF"/>
          <w:lang w:eastAsia="ru-RU"/>
        </w:rPr>
        <w:t>культуры безопасности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. Работник системы образования, как и любой другой области, не может считать себя профессионалом, если он не владеет основами безопасности жизнедеятельности (БЖ). Психолого-педагогическая подготовка сотрудников ОУ к опасностям и освоение ими культуры безопасности являются определяющими факторами в профилактике заболеваний, травматизма, правонарушений и иных происшествий в ОУ.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Практика показывает, что наличие многочисленных планов, дорогостоящих технических средств, охраны не снижает последствий ЧС, если учащиеся, родители и педагоги сами не готовы к адекватным действиям. Обучение таким действия наиболее эффективно может осуществляться не в виде разовых кампаний, а исключительно в рамках </w:t>
      </w:r>
      <w:r w:rsidRPr="00085702">
        <w:rPr>
          <w:rFonts w:ascii="Arial" w:eastAsia="Times New Roman" w:hAnsi="Arial" w:cs="Arial"/>
          <w:i/>
          <w:iCs/>
          <w:color w:val="404040" w:themeColor="text1" w:themeTint="BF"/>
          <w:lang w:eastAsia="ru-RU"/>
        </w:rPr>
        <w:t>систематического изучения основ БЖ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в соответствии с решениями Правительства, Минобрнауки и МЧС России, требованиями образовательного стандарта.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Актуальность проблемы обеспечения безопасности в образовательной сфере обусловлена растущей динамикой опасных ситуаций в ОУ, а также высокой детской заболеваемостью, травматизмом и смертностью в России (в 3-4 раза выше, чем в других странах). Напомним, что в стране почти 30 млн. обучающихся, воспитанников и педагогов, то есть пятая часть населения, а с учётом членов их семей – более половины населения страны национальной безопасности России.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В настоящее время безопасность становится обязательным условием и одним из критериев эффективности деятельности ОУ.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Рассмотреть возможность введения дополнительных часов на изучение курса ОБЖ и усилить внимание к вопросам безопасности при изучении иных учебных предметов базисного учебного плана и занятий во внеурочное время.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Обеспечение безопасности образовательного пространства требует от руководителей и персонала ОУ новых знаний из различных областей права, криминологии, медицины, психологии, техники; это связано с освоением новой терминологии, огромного объёма правовых норм и методических материалов.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Общеизвестно, что всякая деятельность человека может быть источником опасности, негативных воздействий, приводить к травматизму, заболеваниям.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     Анализ заболеваний и происшествий в ОУ даёт основание утверждать, что любая деятельность учащихся и персонала ОУ потенциально опасна. В то же время любая деятельность может быть защищена, может быть уменьшен риск её опасных воздействий  и последствий.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Причины травматизма и заболеваний в ОУ.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360" w:right="75" w:hanging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</w:t>
      </w: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</w:t>
      </w:r>
      <w:r w:rsidRPr="00085702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       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Недисциплинированность и бесконтрольность персонала и учащихся;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360" w:right="75" w:hanging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</w:t>
      </w: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</w:t>
      </w:r>
      <w:r w:rsidRPr="00085702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       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Непонимание серьёзности проблем безопасности жизнедеят;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360" w:right="75" w:hanging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</w:t>
      </w: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</w:t>
      </w:r>
      <w:r w:rsidRPr="00085702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       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Сокрытие фактов  правонарушений и непринятия соответствующих мер правонарушениям;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360" w:right="75" w:hanging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</w:t>
      </w: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</w:t>
      </w:r>
      <w:r w:rsidRPr="00085702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       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Неорганизованность досуга учащихся;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360" w:right="75" w:hanging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lastRenderedPageBreak/>
        <w:t></w:t>
      </w:r>
      <w:r w:rsidRPr="00085702">
        <w:rPr>
          <w:rFonts w:ascii="Symbol" w:eastAsia="Times New Roman" w:hAnsi="Symbol" w:cs="Arial"/>
          <w:color w:val="404040" w:themeColor="text1" w:themeTint="BF"/>
          <w:lang w:eastAsia="ru-RU"/>
        </w:rPr>
        <w:t></w:t>
      </w:r>
      <w:r w:rsidRPr="00085702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       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Слабая система безопасности и охраны ОУ;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left="360" w:right="75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Каждый должен знать, что в любое время и в любом месте могут произойти какие-нибудь негативные события или явления: сильный мороз, отключение электричества, нарушение правил дорожного движения, детские шалости и т.д.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К техническим причинам травматизма относятся неисправности механизмов, приборов, несовершенство технологических процессов, отсутствие  или несовершенство оградительных и предохранительных устройств, отсутствие заземления, неисправности электропроводки, недостатки в освещении, вентиляции, отоплении, а также шум, вибрация, неисправность оборудования и др.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К организационным причинам относятся: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Нарушение норм внутреннего распорядка и охраны труда, недостаточный надзор, недостатки в обучении безопасным приёмам работы и проведении инструктажей по безопасности, нарушение режима труда и отдыха, технологических процессов, неудовлетворительная организация и содержание территории, рабочих мест, небрежное отношение преподавателей к обучению учащихся безопасным приёмам работы и т.д.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К личным причинам относятся: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Недостаточное внимание, ослабление зрения, слуха, памяти, болезнь, ослабление самоконтроля учащимся своей деятельности;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Недисциплинированность учащихся;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Незнание правил и алгоритмов безопасного поведения;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center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Times New Roman" w:eastAsia="Times New Roman" w:hAnsi="Times New Roman" w:cs="Times New Roman"/>
          <w:b/>
          <w:bCs/>
          <w:color w:val="404040" w:themeColor="text1" w:themeTint="BF"/>
          <w:lang w:eastAsia="ru-RU"/>
        </w:rPr>
        <w:t> 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Этикет и культура поведения как факторы безопасности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Отсутствие общей культуры всегда влияет на безопасность и профессиональную культуру. Недостаток культуры снижает способности педагога эффективно использовать на практике современные психологические методы, технические средства связи, методы защиты информации и пр.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Times New Roman" w:eastAsia="Times New Roman" w:hAnsi="Times New Roman" w:cs="Times New Roman"/>
          <w:i/>
          <w:iCs/>
          <w:color w:val="404040" w:themeColor="text1" w:themeTint="BF"/>
          <w:lang w:eastAsia="ru-RU"/>
        </w:rPr>
        <w:t>Профессиональная культура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– это высокий уровень выполнения поставленных задач, который обеспечивает педагогу его эрудиция, дисциплина, профессиональное мастерство, психологическая и правовая подготовленность, гармоническое развитие интеллектуальных и нравственных качеств.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Одним из правил поведения обеспечения безопасности </w:t>
      </w:r>
      <w:r w:rsidRPr="00085702">
        <w:rPr>
          <w:rFonts w:ascii="Arial" w:eastAsia="Times New Roman" w:hAnsi="Arial" w:cs="Arial"/>
          <w:b/>
          <w:bCs/>
          <w:color w:val="404040" w:themeColor="text1" w:themeTint="BF"/>
          <w:lang w:eastAsia="ru-RU"/>
        </w:rPr>
        <w:t xml:space="preserve">является уважительное отношение к учащимся, родителям, сотрудникам и самому себе. </w:t>
      </w: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Отсутствие навыков культурного общения и незнание основных правил этики резко снижают эффективность работы и отношений с руководством, повышают риск неприятных происшествий, вызванных неосторожным грубым словом, оскорбительным высказыванием, несдержанностью в конфликтной ситуации.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    Электробезопасность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В ОУ широко применяются электроприборы и установки. Опасность поражения током возникает при непосредственном соприкосновении человека с оголёнными токоведущими частями  электроустановок. При соприкосновении к металлическим корпусам электроприёмников, случайно оказавшихся под напряжением.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Основными средствами исключения электротравм являются их предвидение при любом контакте с электроприборами и принятие необходимых мер безопасности.</w:t>
      </w:r>
    </w:p>
    <w:p w:rsidR="00BA04AC" w:rsidRPr="00085702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085702">
        <w:rPr>
          <w:rFonts w:ascii="Arial" w:eastAsia="Times New Roman" w:hAnsi="Arial" w:cs="Arial"/>
          <w:color w:val="404040" w:themeColor="text1" w:themeTint="BF"/>
          <w:lang w:eastAsia="ru-RU"/>
        </w:rPr>
        <w:t>К общетехническим средствам защиты от прикосновения к токоведущим частям относятся: рабочая изоляция, обеспечение недоступности токоведущих частей с использованием оградительных средств (ограждения, кожух, корпус, электрический шкаф и т.д.), блокировки безопасности и т.д.</w:t>
      </w:r>
    </w:p>
    <w:p w:rsidR="00701B75" w:rsidRPr="00085702" w:rsidRDefault="00BA04AC" w:rsidP="00701B75">
      <w:pPr>
        <w:pStyle w:val="a3"/>
        <w:spacing w:before="0" w:beforeAutospacing="0" w:after="0" w:afterAutospacing="0"/>
        <w:jc w:val="both"/>
        <w:rPr>
          <w:color w:val="404040" w:themeColor="text1" w:themeTint="BF"/>
          <w:sz w:val="22"/>
          <w:szCs w:val="22"/>
        </w:rPr>
      </w:pPr>
      <w:r w:rsidRPr="00085702">
        <w:rPr>
          <w:rFonts w:ascii="Arial" w:hAnsi="Arial" w:cs="Arial"/>
          <w:color w:val="404040" w:themeColor="text1" w:themeTint="BF"/>
          <w:sz w:val="22"/>
          <w:szCs w:val="22"/>
        </w:rPr>
        <w:t>Перед началом работы обучающихся и преподавателей с компьютерами, ноутбуками, интерактивными досками необходимо проверить целостность электропроводов, корпуса электроприбора, наличие ограждения.</w:t>
      </w:r>
      <w:r w:rsidR="00701B75" w:rsidRPr="00085702">
        <w:rPr>
          <w:color w:val="404040" w:themeColor="text1" w:themeTint="BF"/>
          <w:sz w:val="22"/>
          <w:szCs w:val="22"/>
        </w:rPr>
        <w:t xml:space="preserve"> Строгое соблюдение требований охраны труда является элементом культуры труда, профессиональной культуры, дисциплины образовательного процесса.</w:t>
      </w:r>
    </w:p>
    <w:p w:rsidR="00BA04AC" w:rsidRPr="00BA04AC" w:rsidRDefault="00BA04AC" w:rsidP="00BA04AC">
      <w:pPr>
        <w:shd w:val="clear" w:color="auto" w:fill="FFFFFF"/>
        <w:spacing w:after="0" w:line="240" w:lineRule="auto"/>
        <w:ind w:right="75" w:firstLine="360"/>
        <w:jc w:val="both"/>
        <w:rPr>
          <w:rFonts w:ascii="Arial" w:eastAsia="Times New Roman" w:hAnsi="Arial" w:cs="Arial"/>
          <w:color w:val="226644"/>
          <w:sz w:val="20"/>
          <w:szCs w:val="20"/>
          <w:lang w:eastAsia="ru-RU"/>
        </w:rPr>
      </w:pPr>
    </w:p>
    <w:p w:rsidR="00900142" w:rsidRDefault="00900142"/>
    <w:sectPr w:rsidR="00900142" w:rsidSect="0016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BA04AC"/>
    <w:rsid w:val="00085702"/>
    <w:rsid w:val="00164DEA"/>
    <w:rsid w:val="002F7F0E"/>
    <w:rsid w:val="00651689"/>
    <w:rsid w:val="00701B75"/>
    <w:rsid w:val="00900142"/>
    <w:rsid w:val="00BA04AC"/>
    <w:rsid w:val="00DA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6099</Characters>
  <Application>Microsoft Office Word</Application>
  <DocSecurity>0</DocSecurity>
  <Lines>50</Lines>
  <Paragraphs>14</Paragraphs>
  <ScaleCrop>false</ScaleCrop>
  <Company>Curnos™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777</cp:lastModifiedBy>
  <cp:revision>2</cp:revision>
  <dcterms:created xsi:type="dcterms:W3CDTF">2017-11-29T19:01:00Z</dcterms:created>
  <dcterms:modified xsi:type="dcterms:W3CDTF">2017-11-29T19:01:00Z</dcterms:modified>
</cp:coreProperties>
</file>